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i/>
          <w:i/>
          <w:sz w:val="24"/>
          <w:szCs w:val="26"/>
        </w:rPr>
      </w:pPr>
      <w:r>
        <w:rPr>
          <w:rFonts w:cs="Times New Roman" w:ascii="Times New Roman" w:hAnsi="Times New Roman"/>
          <w:i/>
          <w:sz w:val="24"/>
          <w:szCs w:val="26"/>
        </w:rPr>
        <w:t xml:space="preserve">Выписка из  приложения к приказам ФБУЗ  </w:t>
      </w:r>
    </w:p>
    <w:p>
      <w:pPr>
        <w:pStyle w:val="Normal"/>
        <w:jc w:val="right"/>
        <w:rPr>
          <w:rFonts w:ascii="Times New Roman" w:hAnsi="Times New Roman" w:cs="Times New Roman"/>
          <w:i/>
          <w:i/>
          <w:sz w:val="24"/>
          <w:szCs w:val="26"/>
        </w:rPr>
      </w:pPr>
      <w:r>
        <w:rPr>
          <w:rFonts w:cs="Times New Roman" w:ascii="Times New Roman" w:hAnsi="Times New Roman"/>
          <w:i/>
          <w:sz w:val="24"/>
          <w:szCs w:val="26"/>
        </w:rPr>
        <w:t xml:space="preserve">«Центр гигиены и эпидемиологии в Вологодской </w:t>
      </w:r>
    </w:p>
    <w:p>
      <w:pPr>
        <w:pStyle w:val="Normal"/>
        <w:jc w:val="right"/>
        <w:rPr>
          <w:rFonts w:ascii="Times New Roman" w:hAnsi="Times New Roman" w:eastAsia="Times New Roman" w:cs="Times New Roman"/>
          <w:bCs/>
          <w:i/>
          <w:i/>
          <w:sz w:val="24"/>
          <w:szCs w:val="26"/>
          <w:lang w:eastAsia="ru-RU"/>
        </w:rPr>
      </w:pPr>
      <w:r>
        <w:rPr>
          <w:rFonts w:cs="Times New Roman" w:ascii="Times New Roman" w:hAnsi="Times New Roman"/>
          <w:i/>
          <w:sz w:val="24"/>
          <w:szCs w:val="26"/>
        </w:rPr>
        <w:t>области» №</w:t>
      </w:r>
      <w:r>
        <w:rPr>
          <w:rFonts w:eastAsia="Times New Roman" w:cs="Times New Roman" w:ascii="Times New Roman" w:hAnsi="Times New Roman"/>
          <w:bCs/>
          <w:i/>
          <w:sz w:val="24"/>
          <w:szCs w:val="26"/>
          <w:lang w:eastAsia="ru-RU"/>
        </w:rPr>
        <w:t xml:space="preserve">№ 464,463,467 от 07.11.2023 г., </w:t>
      </w:r>
    </w:p>
    <w:p>
      <w:pPr>
        <w:pStyle w:val="Normal"/>
        <w:jc w:val="right"/>
        <w:rPr>
          <w:rFonts w:ascii="Times New Roman" w:hAnsi="Times New Roman" w:eastAsia="Times New Roman" w:cs="Times New Roman"/>
          <w:bCs/>
          <w:i/>
          <w:i/>
          <w:sz w:val="24"/>
          <w:szCs w:val="26"/>
          <w:lang w:eastAsia="ru-RU"/>
        </w:rPr>
      </w:pPr>
      <w:r>
        <w:rPr>
          <w:rFonts w:eastAsia="Times New Roman" w:cs="Times New Roman" w:ascii="Times New Roman" w:hAnsi="Times New Roman"/>
          <w:bCs/>
          <w:i/>
          <w:sz w:val="24"/>
          <w:szCs w:val="26"/>
          <w:lang w:eastAsia="ru-RU"/>
        </w:rPr>
        <w:t xml:space="preserve">№ </w:t>
      </w:r>
      <w:r>
        <w:rPr>
          <w:rFonts w:eastAsia="Times New Roman" w:cs="Times New Roman" w:ascii="Times New Roman" w:hAnsi="Times New Roman"/>
          <w:bCs/>
          <w:i/>
          <w:sz w:val="24"/>
          <w:szCs w:val="26"/>
          <w:lang w:eastAsia="ru-RU"/>
        </w:rPr>
        <w:t xml:space="preserve">387 от 15.09.2023 г., № 349 от 10.09.2024г., </w:t>
      </w:r>
    </w:p>
    <w:p>
      <w:pPr>
        <w:pStyle w:val="Normal"/>
        <w:jc w:val="right"/>
        <w:rPr>
          <w:rFonts w:ascii="Times New Roman" w:hAnsi="Times New Roman" w:eastAsia="Times New Roman" w:cs="Times New Roman"/>
          <w:bCs/>
          <w:i/>
          <w:i/>
          <w:sz w:val="24"/>
          <w:szCs w:val="26"/>
          <w:lang w:eastAsia="ru-RU"/>
        </w:rPr>
      </w:pPr>
      <w:r>
        <w:rPr>
          <w:rFonts w:eastAsia="Times New Roman" w:cs="Times New Roman" w:ascii="Times New Roman" w:hAnsi="Times New Roman"/>
          <w:bCs/>
          <w:i/>
          <w:sz w:val="24"/>
          <w:szCs w:val="26"/>
          <w:lang w:eastAsia="ru-RU"/>
        </w:rPr>
        <w:t xml:space="preserve">№ </w:t>
      </w:r>
      <w:r>
        <w:rPr>
          <w:rFonts w:eastAsia="Times New Roman" w:cs="Times New Roman" w:ascii="Times New Roman" w:hAnsi="Times New Roman"/>
          <w:bCs/>
          <w:i/>
          <w:sz w:val="24"/>
          <w:szCs w:val="26"/>
          <w:lang w:eastAsia="ru-RU"/>
        </w:rPr>
        <w:t>497 от 01.12.2023, № 353 от 12.09.2024 г.</w:t>
      </w:r>
    </w:p>
    <w:p>
      <w:pPr>
        <w:pStyle w:val="Normal"/>
        <w:rPr>
          <w:sz w:val="18"/>
        </w:rPr>
      </w:pPr>
      <w:r>
        <w:rPr>
          <w:sz w:val="18"/>
        </w:rPr>
      </w:r>
    </w:p>
    <w:p>
      <w:pPr>
        <w:pStyle w:val="Normal"/>
        <w:jc w:val="center"/>
        <w:rPr>
          <w:rFonts w:ascii="Times New Roman" w:hAnsi="Times New Roman" w:cs="Times New Roman"/>
          <w:b/>
          <w:color w:themeColor="text1" w:themeTint="a5" w:val="auto"/>
          <w:sz w:val="24"/>
          <w:szCs w:val="24"/>
        </w:rPr>
      </w:pPr>
      <w:r>
        <w:rPr>
          <w:rFonts w:cs="Times New Roman" w:ascii="Times New Roman" w:hAnsi="Times New Roman"/>
          <w:b/>
          <w:color w:themeColor="text1" w:themeTint="a5" w:val="auto"/>
          <w:sz w:val="24"/>
          <w:szCs w:val="24"/>
        </w:rPr>
        <w:t>Исследование пищевых продуктов</w:t>
      </w:r>
    </w:p>
    <w:p>
      <w:pPr>
        <w:pStyle w:val="Normal"/>
        <w:jc w:val="center"/>
        <w:rPr>
          <w:rFonts w:ascii="Times New Roman" w:hAnsi="Times New Roman" w:cs="Times New Roman"/>
          <w:b/>
          <w:color w:themeColor="text1" w:themeTint="a5" w:val="auto"/>
          <w:sz w:val="24"/>
          <w:szCs w:val="24"/>
        </w:rPr>
      </w:pPr>
      <w:r>
        <w:rPr>
          <w:rFonts w:cs="Times New Roman" w:ascii="Times New Roman" w:hAnsi="Times New Roman"/>
          <w:b/>
          <w:color w:themeColor="text1" w:themeTint="a5" w:val="auto"/>
          <w:sz w:val="24"/>
          <w:szCs w:val="24"/>
        </w:rPr>
        <w:t xml:space="preserve">филиала ФБУЗ «Центр гигиены и эпидемиологии в Вологодской области» </w:t>
      </w:r>
    </w:p>
    <w:p>
      <w:pPr>
        <w:pStyle w:val="Normal"/>
        <w:jc w:val="center"/>
        <w:rPr>
          <w:rFonts w:ascii="Times New Roman" w:hAnsi="Times New Roman" w:cs="Times New Roman"/>
          <w:b/>
          <w:color w:themeColor="text1" w:themeTint="a5" w:val="auto"/>
          <w:sz w:val="24"/>
          <w:szCs w:val="24"/>
        </w:rPr>
      </w:pPr>
      <w:r>
        <w:rPr>
          <w:rFonts w:cs="Times New Roman" w:ascii="Times New Roman" w:hAnsi="Times New Roman"/>
          <w:b/>
          <w:color w:themeColor="text1" w:themeTint="a5" w:val="auto"/>
          <w:sz w:val="24"/>
          <w:szCs w:val="24"/>
        </w:rPr>
        <w:t>в г. Тотьма</w:t>
      </w:r>
    </w:p>
    <w:tbl>
      <w:tblPr>
        <w:tblW w:w="9340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94"/>
        <w:gridCol w:w="6534"/>
        <w:gridCol w:w="1812"/>
      </w:tblGrid>
      <w:tr>
        <w:trPr>
          <w:trHeight w:val="958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Наименование исследования, услуги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Цена 1 анализа без НДС, (руб.)</w:t>
            </w:r>
          </w:p>
        </w:tc>
      </w:tr>
      <w:tr>
        <w:trPr>
          <w:trHeight w:val="315" w:hRule="atLeast"/>
        </w:trPr>
        <w:tc>
          <w:tcPr>
            <w:tcW w:w="93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4"/>
                <w:u w:val="single"/>
                <w:lang w:eastAsia="ru-RU"/>
              </w:rPr>
            </w:pPr>
            <w:r>
              <w:rPr>
                <w:rFonts w:cs="Times New Roman" w:ascii="Times New Roman" w:hAnsi="Times New Roman"/>
                <w:b/>
                <w:i/>
                <w:iCs/>
                <w:color w:themeColor="text1" w:themeTint="a5" w:val="auto"/>
                <w:sz w:val="22"/>
                <w:u w:val="single"/>
              </w:rPr>
              <w:t>ОТБОР  ПРОБ  ДЛЯ  ЛАБОРАТОРНЫХ  ИССЛЕДОВАНИЙ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lang w:eastAsia="ru-RU"/>
              </w:rPr>
              <w:t>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lang w:eastAsia="ru-RU"/>
              </w:rPr>
              <w:t>1 проба продукции (пищевая и непищевая)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lang w:eastAsia="ru-RU"/>
              </w:rPr>
              <w:t>516,00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lang w:eastAsia="ru-RU"/>
              </w:rPr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lang w:eastAsia="ru-RU"/>
              </w:rPr>
              <w:t>- каждая последующая на одном объекте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lang w:eastAsia="ru-RU"/>
              </w:rPr>
              <w:t>324,00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/>
                <w:i/>
                <w:i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color w:themeColor="text1" w:themeTint="a5" w:val="auto"/>
                <w:sz w:val="24"/>
                <w:szCs w:val="24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2"/>
                <w:szCs w:val="22"/>
                <w:lang w:eastAsia="ru-RU"/>
              </w:rPr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- до 5  показателей (точек) (включительно)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</w:rPr>
              <w:t>139,50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2"/>
                <w:szCs w:val="22"/>
                <w:lang w:eastAsia="ru-RU"/>
              </w:rPr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- более 5 (точек) показателей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</w:rPr>
              <w:t>279,00</w:t>
            </w:r>
          </w:p>
        </w:tc>
      </w:tr>
      <w:tr>
        <w:trPr>
          <w:trHeight w:val="315" w:hRule="atLeast"/>
        </w:trPr>
        <w:tc>
          <w:tcPr>
            <w:tcW w:w="93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color w:themeColor="text1" w:themeTint="a5" w:val="auto"/>
                <w:sz w:val="24"/>
                <w:szCs w:val="28"/>
                <w:u w:val="single"/>
                <w:lang w:eastAsia="ru-RU"/>
              </w:rPr>
              <w:t>САНИТАРНО-БАКТЕРИОЛОГИЧЕСКИЕ ИССЛЕДОВАНИЯ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Пищевые продукты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Количество мезофильных аэробных и факультативно-анаэробных микроорганизмов (КМАФАнМ)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340,66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Бактерии группы кишечной палочки (БГКП)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340,66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Бактерии рода Salmonella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1 059,83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Бактерии вида Staphylococcus aureus (S. aureus), Золотистый стафилококк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403,74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1.5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Дрожжи, плесени (плесневые грибы)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403,74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1.6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Молочнокислые микроорганизмы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353,28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1.7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Pseudomonas aeruginosa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353,28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1.8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Бактерии рода Proteus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353,28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1.9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Бактерии рода Yersinia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1 047,21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1.10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  <w:lang w:val="en-US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Бактерии</w:t>
            </w: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вида</w:t>
            </w: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  <w:lang w:val="en-US"/>
              </w:rPr>
              <w:t xml:space="preserve"> Listeria monocytogenes (L.monocitogenes)*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2"/>
              </w:rPr>
              <w:t>946,28</w:t>
            </w:r>
          </w:p>
        </w:tc>
      </w:tr>
      <w:tr>
        <w:trPr>
          <w:trHeight w:val="315" w:hRule="atLeast"/>
        </w:trPr>
        <w:tc>
          <w:tcPr>
            <w:tcW w:w="93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4"/>
                <w:szCs w:val="24"/>
                <w:u w:val="single"/>
                <w:lang w:eastAsia="ru-RU"/>
              </w:rPr>
              <w:t>САНИТАРНО-ГИГИЕНИЧЕСКИЕ  ИССЛЕДОВАНИЯ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themeColor="text1" w:themeTint="a5" w:val="auto"/>
                <w:sz w:val="22"/>
                <w:szCs w:val="22"/>
                <w:lang w:eastAsia="ru-RU"/>
              </w:rPr>
              <w:t>Исследования пищевых продуктов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Мясо, мясо птицы и все мясопродукты (полуфабрикаты мясные, колбасные изделия, консервы мясные и т. п.)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Влага и сухие вещества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732,50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1.1.2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Нитрит натрия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1517,00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1.1.3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Хлористый натрий (соль поваренная)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673,30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1.1.4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Определение массовой доли фарша в мясных полуфабрикатах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372,70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1.1.5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Определение содержания общего фосфора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2263,90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1.1.6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Эффективность термической обработки мясных кулинарных изделий, активность пероксидазы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660,70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1.1.7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Массовая доля составных частей в консервах мясных и мясосодержащих (мяса, жира, бульона, рассола)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391,40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1.1.8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Масса кулинарного изделия,  масса полуфабриката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391,40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Хлеб, хлебобулочные изделия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2.2.1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Кислотность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770,10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2.2.2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Пористость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353,70</w:t>
            </w:r>
          </w:p>
        </w:tc>
      </w:tr>
      <w:tr>
        <w:trPr>
          <w:trHeight w:val="289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2.2.3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Сахар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1773,80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2.2.4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Жир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673,30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2.2.5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Массовая доля начинки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391,40</w:t>
            </w:r>
          </w:p>
        </w:tc>
      </w:tr>
      <w:tr>
        <w:trPr>
          <w:trHeight w:val="260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2.2.6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Влага и сухие вещества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732,50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Рыба, нерыбные объекты промысла и продукты, выработанные из них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/>
            </w:r>
          </w:p>
        </w:tc>
      </w:tr>
      <w:tr>
        <w:trPr>
          <w:trHeight w:val="367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152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3.1.1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Эффективность термической обработки рыбных кулинарных изделий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660,70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3.1.2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Cs/>
                <w:i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Массовая доля глазури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490,00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3.1.3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Общий фосфор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2263,90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Молоко и молочная продукция (молоко, сливки, сыворотки, кисломолочная продукция, йогурты, сыры, творог,  мороженое, сметана и т.п.)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4.1.1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Жир методом Гербера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673,30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4.1.2</w:t>
            </w:r>
          </w:p>
        </w:tc>
        <w:tc>
          <w:tcPr>
            <w:tcW w:w="65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Влага и сухие вещества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732,50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4.1.3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Кислотность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588,80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4.1.4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Фосфатаза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874,30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4.1.5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Плотность в  молоке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328,50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4.1.6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СОМО (сухой обезжиренный молочный остаток)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635,50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Плоды, овощи, продукты их переработки, соки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5.1.1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Нитраты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673,30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Кондитерские изделия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6.1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6.1.1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Влага и сухие вещества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732,50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6.1.2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Кислотность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770,10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6.1.3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Жир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  <w:szCs w:val="24"/>
              </w:rPr>
              <w:t>1089,80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6.1.4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Массовая доля составных частей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391,40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6.1.5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Массовая доля сахаров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1773,80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Соль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7.1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7.1.1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Йод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721,80</w:t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Продукция общепита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2"/>
                <w:szCs w:val="22"/>
                <w:lang w:eastAsia="ru-RU"/>
              </w:rPr>
              <w:t>Физико-химические показатели: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8.1.1</w:t>
            </w:r>
          </w:p>
        </w:tc>
        <w:tc>
          <w:tcPr>
            <w:tcW w:w="6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2"/>
                <w:szCs w:val="22"/>
                <w:lang w:eastAsia="ru-RU"/>
              </w:rPr>
              <w:t>Эффективность термообработки в мясных и рыбных кулинарных изделиях (активность пероксидазы)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2"/>
              </w:rPr>
              <w:t>660,70</w:t>
            </w:r>
          </w:p>
        </w:tc>
      </w:tr>
    </w:tbl>
    <w:p>
      <w:pPr>
        <w:pStyle w:val="Normal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>*- вне области аккредитации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libri" w:cs="" w:asciiTheme="majorHAnsi" w:cstheme="minorBidi" w:eastAsiaTheme="minorHAnsi" w:hAnsiTheme="majorHAnsi"/>
        <w:color w:themeColor="text1" w:themeTint="a5" w:val="5A5A5A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2aa8"/>
    <w:pPr>
      <w:widowControl/>
      <w:suppressAutoHyphens w:val="true"/>
      <w:bidi w:val="0"/>
      <w:spacing w:before="0" w:after="0"/>
      <w:jc w:val="left"/>
    </w:pPr>
    <w:rPr>
      <w:rFonts w:ascii="Cambria" w:hAnsi="Cambria" w:eastAsia="Calibri" w:cs="" w:asciiTheme="majorHAnsi" w:cstheme="minorBidi" w:eastAsiaTheme="minorHAnsi" w:hAnsiTheme="majorHAnsi"/>
      <w:color w:themeColor="text1" w:themeTint="a5" w:val="5A5A5A"/>
      <w:kern w:val="0"/>
      <w:sz w:val="20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7e4bda"/>
    <w:rPr>
      <w:color w:themeColor="text1" w:themeTint="a5"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4bda"/>
    <w:rPr>
      <w:color w:themeColor="text1" w:themeTint="a5" w:val="800080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4603c"/>
    <w:rPr>
      <w:sz w:val="16"/>
      <w:szCs w:val="16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semiHidden/>
    <w:qFormat/>
    <w:rsid w:val="00f4603c"/>
    <w:rPr/>
  </w:style>
  <w:style w:type="character" w:styleId="Style15" w:customStyle="1">
    <w:name w:val="Тема примечания Знак"/>
    <w:basedOn w:val="Style14"/>
    <w:link w:val="Annotationsubject"/>
    <w:uiPriority w:val="99"/>
    <w:semiHidden/>
    <w:qFormat/>
    <w:rsid w:val="00f4603c"/>
    <w:rPr>
      <w:b/>
      <w:bCs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f4603c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 Devanagari"/>
    </w:rPr>
  </w:style>
  <w:style w:type="paragraph" w:styleId="Font5" w:customStyle="1">
    <w:name w:val="font5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Font6" w:customStyle="1">
    <w:name w:val="font6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Font7" w:customStyle="1">
    <w:name w:val="font7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000000"/>
      <w:sz w:val="24"/>
      <w:szCs w:val="24"/>
      <w:lang w:eastAsia="ru-RU"/>
    </w:rPr>
  </w:style>
  <w:style w:type="paragraph" w:styleId="Font8" w:customStyle="1">
    <w:name w:val="font8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Font9" w:customStyle="1">
    <w:name w:val="font9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000000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7e4bda"/>
    <w:pP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78" w:customStyle="1">
    <w:name w:val="xl78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18"/>
      <w:szCs w:val="18"/>
      <w:lang w:eastAsia="ru-RU"/>
    </w:rPr>
  </w:style>
  <w:style w:type="paragraph" w:styleId="Xl79" w:customStyle="1">
    <w:name w:val="xl79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80" w:customStyle="1">
    <w:name w:val="xl80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81" w:customStyle="1">
    <w:name w:val="xl81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7e4bda"/>
    <w:pPr>
      <w:spacing w:beforeAutospacing="1" w:afterAutospacing="1"/>
      <w:jc w:val="right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7e4bda"/>
    <w:pPr>
      <w:spacing w:beforeAutospacing="1" w:afterAutospacing="1"/>
      <w:jc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lang w:eastAsia="ru-RU"/>
    </w:rPr>
  </w:style>
  <w:style w:type="paragraph" w:styleId="Xl86" w:customStyle="1">
    <w:name w:val="xl8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105" w:customStyle="1">
    <w:name w:val="xl105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106" w:customStyle="1">
    <w:name w:val="xl10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lang w:eastAsia="ru-RU"/>
    </w:rPr>
  </w:style>
  <w:style w:type="paragraph" w:styleId="Xl114" w:customStyle="1">
    <w:name w:val="xl114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FFFFFF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FF0000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FF0000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Annotationtext">
    <w:name w:val="annotation text"/>
    <w:basedOn w:val="Normal"/>
    <w:link w:val="Style14"/>
    <w:uiPriority w:val="99"/>
    <w:semiHidden/>
    <w:unhideWhenUsed/>
    <w:qFormat/>
    <w:rsid w:val="00f4603c"/>
    <w:pPr/>
    <w:rPr/>
  </w:style>
  <w:style w:type="paragraph" w:styleId="Annotationsubject">
    <w:name w:val="annotation subject"/>
    <w:basedOn w:val="Annotationtext"/>
    <w:next w:val="Annotationtext"/>
    <w:link w:val="Style15"/>
    <w:uiPriority w:val="99"/>
    <w:semiHidden/>
    <w:unhideWhenUsed/>
    <w:qFormat/>
    <w:rsid w:val="00f4603c"/>
    <w:pPr/>
    <w:rPr>
      <w:b/>
      <w:bCs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f4603c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Application>LibreOffice/7.6.4.1$Linux_X86_64 LibreOffice_project/60$Build-1</Application>
  <AppVersion>15.0000</AppVersion>
  <Pages>2</Pages>
  <Words>453</Words>
  <Characters>3035</Characters>
  <CharactersWithSpaces>3321</CharactersWithSpaces>
  <Paragraphs>184</Paragraphs>
  <Company>ФГУЗ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2018-03-12T12:59:00Z</dcterms:created>
  <dc:creator>useroold</dc:creator>
  <dc:description/>
  <dc:language>ru-RU</dc:language>
  <cp:lastModifiedBy/>
  <dcterms:modified xsi:type="dcterms:W3CDTF">2024-10-15T11:30:52Z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